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Ovanåker kommunfullmäktige</w:t>
      </w:r>
    </w:p>
    <w:p>
      <w:pPr>
        <w:pStyle w:val="Heading1"/>
      </w:pPr>
      <w:r>
        <w:t xml:space="preserve">Fler behöriga lärare i Ovanåkers grundskolor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Ovanåker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Ovanåkers meritvärde årskurs 9 ligger på 215 poäng (Kolada 2024), under rikssnittet 230. Andel behöriga lärare är 78 % (Skolverket). Brist på tidig lästräning och stöd ger sämre resultat. Liberalerna vill höja kunskapsnivån.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Ovanåker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avsätta 2,5 mnkr årligen 2027–2029 för rekrytering av behöriga lärare.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obligatorisk lästräning 20 minuter per dag i årskurs 1–3.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utöka speciallärarresursen med två tjänster från höstterminen 2027.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årligen redovisa andel behöriga lärare och meritvärde till fullmäktige.</w:t>
      </w:r>
    </w:p>
    <w:p>
      <w:pPr>
        <w:spacing w:before="360"/>
      </w:pPr>
    </w:p>
    <w:p>
      <w:r>
        <w:t xml:space="preserve">Ovanåker,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Ovanåker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2026-07-14T04:51:29.620Z</dcterms:created>
  <dcterms:modified xsi:type="dcterms:W3CDTF">2026-07-14T04:51:29.620Z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